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Helvetica" w:hAnsi="Helvetica"/>
          <w:b w:val="1"/>
          <w:bCs w:val="1"/>
          <w:outline w:val="0"/>
          <w:color w:val="111111"/>
          <w:sz w:val="28"/>
          <w:szCs w:val="28"/>
          <w:rtl w:val="0"/>
          <w:lang w:val="en-US"/>
          <w14:textFill>
            <w14:solidFill>
              <w14:srgbClr w14:val="111111"/>
            </w14:solidFill>
          </w14:textFill>
        </w:rPr>
        <w:t>COMMUNIQU</w:t>
      </w:r>
      <w:r>
        <w:rPr>
          <w:rFonts w:ascii="Helvetica" w:hAnsi="Helvetica" w:hint="default"/>
          <w:b w:val="1"/>
          <w:bCs w:val="1"/>
          <w:outline w:val="0"/>
          <w:color w:val="111111"/>
          <w:sz w:val="28"/>
          <w:szCs w:val="28"/>
          <w:rtl w:val="0"/>
          <w:lang w:val="pt-PT"/>
          <w14:textFill>
            <w14:solidFill>
              <w14:srgbClr w14:val="111111"/>
            </w14:solidFill>
          </w14:textFill>
        </w:rPr>
        <w:t xml:space="preserve">É </w:t>
      </w:r>
      <w:r>
        <w:rPr>
          <w:rFonts w:ascii="Helvetica" w:hAnsi="Helvetica"/>
          <w:b w:val="1"/>
          <w:bCs w:val="1"/>
          <w:outline w:val="0"/>
          <w:color w:val="111111"/>
          <w:sz w:val="28"/>
          <w:szCs w:val="28"/>
          <w:rtl w:val="0"/>
          <w:lang w:val="de-DE"/>
          <w14:textFill>
            <w14:solidFill>
              <w14:srgbClr w14:val="111111"/>
            </w14:solidFill>
          </w14:textFill>
        </w:rPr>
        <w:t>ISSUED AT THE STAKEHOLDERS</w:t>
      </w:r>
      <w:r>
        <w:rPr>
          <w:rFonts w:ascii="Helvetica" w:hAnsi="Helvetica" w:hint="default"/>
          <w:b w:val="1"/>
          <w:bCs w:val="1"/>
          <w:outline w:val="0"/>
          <w:color w:val="111111"/>
          <w:sz w:val="28"/>
          <w:szCs w:val="28"/>
          <w:rtl w:val="1"/>
          <w14:textFill>
            <w14:solidFill>
              <w14:srgbClr w14:val="111111"/>
            </w14:solidFill>
          </w14:textFill>
        </w:rPr>
        <w:t xml:space="preserve">’ </w:t>
      </w:r>
      <w:r>
        <w:rPr>
          <w:rFonts w:ascii="Helvetica" w:hAnsi="Helvetica"/>
          <w:b w:val="1"/>
          <w:bCs w:val="1"/>
          <w:outline w:val="0"/>
          <w:color w:val="111111"/>
          <w:sz w:val="28"/>
          <w:szCs w:val="28"/>
          <w:rtl w:val="0"/>
          <w:lang w:val="de-DE"/>
          <w14:textFill>
            <w14:solidFill>
              <w14:srgbClr w14:val="111111"/>
            </w14:solidFill>
          </w14:textFill>
        </w:rPr>
        <w:t xml:space="preserve">MEETING HELD IN COMMEMORATION OF WORLD THEATRE DAY </w:t>
      </w:r>
      <w:r>
        <w:rPr>
          <w:rFonts w:ascii="Helvetica" w:hAnsi="Helvetica" w:hint="default"/>
          <w:b w:val="1"/>
          <w:bCs w:val="1"/>
          <w:outline w:val="0"/>
          <w:color w:val="111111"/>
          <w:sz w:val="28"/>
          <w:szCs w:val="28"/>
          <w:rtl w:val="0"/>
          <w14:textFill>
            <w14:solidFill>
              <w14:srgbClr w14:val="111111"/>
            </w14:solidFill>
          </w14:textFill>
        </w:rPr>
        <w:t xml:space="preserve">– </w:t>
      </w:r>
      <w:r>
        <w:rPr>
          <w:rFonts w:ascii="Helvetica" w:hAnsi="Helvetica"/>
          <w:b w:val="1"/>
          <w:bCs w:val="1"/>
          <w:outline w:val="0"/>
          <w:color w:val="111111"/>
          <w:sz w:val="28"/>
          <w:szCs w:val="28"/>
          <w:rtl w:val="0"/>
          <w:lang w:val="de-DE"/>
          <w14:textFill>
            <w14:solidFill>
              <w14:srgbClr w14:val="111111"/>
            </w14:solidFill>
          </w14:textFill>
        </w:rPr>
        <w:t>MARCH 27, LAGOS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14:textFill>
            <w14:solidFill>
              <w14:srgbClr w14:val="111111"/>
            </w14:solidFill>
          </w14:textFill>
        </w:rPr>
        <w:t>A stakeholders</w:t>
      </w:r>
      <w:r>
        <w:rPr>
          <w:rFonts w:ascii="Helvetica" w:hAnsi="Helvetica" w:hint="default"/>
          <w:outline w:val="0"/>
          <w:color w:val="111111"/>
          <w:sz w:val="28"/>
          <w:szCs w:val="28"/>
          <w:rtl w:val="1"/>
          <w14:textFill>
            <w14:solidFill>
              <w14:srgbClr w14:val="111111"/>
            </w14:solidFill>
          </w14:textFill>
        </w:rPr>
        <w:t xml:space="preserve">’ </w:t>
      </w:r>
      <w:r>
        <w:rPr>
          <w:rFonts w:ascii="Helvetica" w:hAnsi="Helvetica"/>
          <w:outline w:val="0"/>
          <w:color w:val="111111"/>
          <w:sz w:val="28"/>
          <w:szCs w:val="28"/>
          <w:rtl w:val="0"/>
          <w:lang w:val="en-US"/>
          <w14:textFill>
            <w14:solidFill>
              <w14:srgbClr w14:val="111111"/>
            </w14:solidFill>
          </w14:textFill>
        </w:rPr>
        <w:t>meeting was convened on March 27, in celebration of World Theatre Day, at Alliance Fran</w:t>
      </w:r>
      <w:r>
        <w:rPr>
          <w:rFonts w:ascii="Helvetica" w:hAnsi="Helvetica" w:hint="default"/>
          <w:outline w:val="0"/>
          <w:color w:val="111111"/>
          <w:sz w:val="28"/>
          <w:szCs w:val="28"/>
          <w:rtl w:val="0"/>
          <w14:textFill>
            <w14:solidFill>
              <w14:srgbClr w14:val="111111"/>
            </w14:solidFill>
          </w14:textFill>
        </w:rPr>
        <w:t>ç</w:t>
      </w:r>
      <w:r>
        <w:rPr>
          <w:rFonts w:ascii="Helvetica" w:hAnsi="Helvetica"/>
          <w:outline w:val="0"/>
          <w:color w:val="111111"/>
          <w:sz w:val="28"/>
          <w:szCs w:val="28"/>
          <w:rtl w:val="0"/>
          <w:lang w:val="en-US"/>
          <w14:textFill>
            <w14:solidFill>
              <w14:srgbClr w14:val="111111"/>
            </w14:solidFill>
          </w14:textFill>
        </w:rPr>
        <w:t>aise Lagos. The meeting was jointly organized by the National Association of Nigerian Theatre Arts Practitioners (NANTAP) and the National Theatre, Iganmu, Lagos.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Helvetica" w:hAnsi="Helvetica"/>
          <w:b w:val="1"/>
          <w:bCs w:val="1"/>
          <w:outline w:val="0"/>
          <w:color w:val="111111"/>
          <w:sz w:val="28"/>
          <w:szCs w:val="28"/>
          <w:rtl w:val="0"/>
          <w:lang w:val="fr-FR"/>
          <w14:textFill>
            <w14:solidFill>
              <w14:srgbClr w14:val="111111"/>
            </w14:solidFill>
          </w14:textFill>
        </w:rPr>
        <w:t>Attendance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The meeting was attended by key stakeholders in the Nigerian theatre and creative industries, including:</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14:textFill>
            <w14:solidFill>
              <w14:srgbClr w14:val="111111"/>
            </w14:solidFill>
          </w14:textFill>
        </w:rPr>
        <w:t>Adeniran Makinde</w:t>
      </w:r>
      <w:r>
        <w:rPr>
          <w:rFonts w:ascii="Helvetica" w:hAnsi="Helvetica"/>
          <w:outline w:val="0"/>
          <w:color w:val="111111"/>
          <w:sz w:val="28"/>
          <w:szCs w:val="28"/>
          <w:rtl w:val="0"/>
          <w14:textFill>
            <w14:solidFill>
              <w14:srgbClr w14:val="111111"/>
            </w14:solidFill>
          </w14:textFill>
        </w:rPr>
        <w:t xml:space="preserve">, fta. </w:t>
      </w:r>
      <w:r>
        <w:rPr>
          <w:rFonts w:ascii="Helvetica" w:hAnsi="Helvetica"/>
          <w:outline w:val="0"/>
          <w:color w:val="111111"/>
          <w:sz w:val="28"/>
          <w:szCs w:val="28"/>
          <w:rtl w:val="0"/>
          <w:lang w:val="fr-FR"/>
          <w14:textFill>
            <w14:solidFill>
              <w14:srgbClr w14:val="111111"/>
            </w14:solidFill>
          </w14:textFill>
        </w:rPr>
        <w:t>(President, NANTAP)</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lang w:val="en-US"/>
          <w14:textFill>
            <w14:solidFill>
              <w14:srgbClr w14:val="111111"/>
            </w14:solidFill>
          </w14:textFill>
        </w:rPr>
        <w:t>Tola Akerele (CEO, National Theatre)</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14:textFill>
            <w14:solidFill>
              <w14:srgbClr w14:val="111111"/>
            </w14:solidFill>
          </w14:textFill>
        </w:rPr>
        <w:t>Kelvin Mary</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lang w:val="en-US"/>
          <w14:textFill>
            <w14:solidFill>
              <w14:srgbClr w14:val="111111"/>
            </w14:solidFill>
          </w14:textFill>
        </w:rPr>
        <w:t>Kenneth Uphopho</w:t>
      </w:r>
      <w:r>
        <w:rPr>
          <w:rFonts w:ascii="Helvetica" w:hAnsi="Helvetica"/>
          <w:outline w:val="0"/>
          <w:color w:val="111111"/>
          <w:sz w:val="28"/>
          <w:szCs w:val="28"/>
          <w:rtl w:val="0"/>
          <w14:textFill>
            <w14:solidFill>
              <w14:srgbClr w14:val="111111"/>
            </w14:solidFill>
          </w14:textFill>
        </w:rPr>
        <w:t>, fta</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lang w:val="de-DE"/>
          <w14:textFill>
            <w14:solidFill>
              <w14:srgbClr w14:val="111111"/>
            </w14:solidFill>
          </w14:textFill>
        </w:rPr>
        <w:t>Israel Eboh</w:t>
      </w:r>
      <w:r>
        <w:rPr>
          <w:rFonts w:ascii="Helvetica" w:hAnsi="Helvetica"/>
          <w:outline w:val="0"/>
          <w:color w:val="111111"/>
          <w:sz w:val="28"/>
          <w:szCs w:val="28"/>
          <w:rtl w:val="0"/>
          <w14:textFill>
            <w14:solidFill>
              <w14:srgbClr w14:val="111111"/>
            </w14:solidFill>
          </w14:textFill>
        </w:rPr>
        <w:t>, fta</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lang w:val="nl-NL"/>
          <w14:textFill>
            <w14:solidFill>
              <w14:srgbClr w14:val="111111"/>
            </w14:solidFill>
          </w14:textFill>
        </w:rPr>
        <w:t>Edmond Enaibe</w:t>
      </w:r>
      <w:r>
        <w:rPr>
          <w:rFonts w:ascii="Helvetica" w:hAnsi="Helvetica"/>
          <w:outline w:val="0"/>
          <w:color w:val="111111"/>
          <w:sz w:val="28"/>
          <w:szCs w:val="28"/>
          <w:rtl w:val="0"/>
          <w14:textFill>
            <w14:solidFill>
              <w14:srgbClr w14:val="111111"/>
            </w14:solidFill>
          </w14:textFill>
        </w:rPr>
        <w:t>, fta</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14:textFill>
            <w14:solidFill>
              <w14:srgbClr w14:val="111111"/>
            </w14:solidFill>
          </w14:textFill>
        </w:rPr>
        <w:t>Toyin Akin</w:t>
      </w:r>
      <w:r>
        <w:rPr>
          <w:rFonts w:ascii="Helvetica" w:hAnsi="Helvetica"/>
          <w:outline w:val="0"/>
          <w:color w:val="111111"/>
          <w:sz w:val="28"/>
          <w:szCs w:val="28"/>
          <w:rtl w:val="0"/>
          <w14:textFill>
            <w14:solidFill>
              <w14:srgbClr w14:val="111111"/>
            </w14:solidFill>
          </w14:textFill>
        </w:rPr>
        <w:t>osho</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14:textFill>
            <w14:solidFill>
              <w14:srgbClr w14:val="111111"/>
            </w14:solidFill>
          </w14:textFill>
        </w:rPr>
        <w:t>Brenda</w:t>
      </w:r>
      <w:r>
        <w:rPr>
          <w:rFonts w:ascii="Helvetica" w:hAnsi="Helvetica"/>
          <w:outline w:val="0"/>
          <w:color w:val="111111"/>
          <w:sz w:val="28"/>
          <w:szCs w:val="28"/>
          <w:rtl w:val="0"/>
          <w14:textFill>
            <w14:solidFill>
              <w14:srgbClr w14:val="111111"/>
            </w14:solidFill>
          </w14:textFill>
        </w:rPr>
        <w:t xml:space="preserve"> Uphopho</w:t>
      </w:r>
    </w:p>
    <w:p>
      <w:pPr>
        <w:pStyle w:val="Default"/>
        <w:numPr>
          <w:ilvl w:val="0"/>
          <w:numId w:val="2"/>
        </w:numPr>
        <w:bidi w:val="0"/>
        <w:spacing w:before="240" w:line="250" w:lineRule="auto"/>
        <w:ind w:right="0"/>
        <w:jc w:val="left"/>
        <w:rPr>
          <w:rFonts w:ascii="Helvetica" w:hAnsi="Helvetica"/>
          <w:outline w:val="0"/>
          <w:color w:val="111111"/>
          <w:sz w:val="28"/>
          <w:szCs w:val="28"/>
          <w:rtl w:val="0"/>
          <w14:textFill>
            <w14:solidFill>
              <w14:srgbClr w14:val="111111"/>
            </w14:solidFill>
          </w14:textFill>
        </w:rPr>
      </w:pPr>
      <w:r>
        <w:rPr>
          <w:rFonts w:ascii="Helvetica" w:hAnsi="Helvetica"/>
          <w:outline w:val="0"/>
          <w:color w:val="111111"/>
          <w:sz w:val="28"/>
          <w:szCs w:val="28"/>
          <w:rtl w:val="0"/>
          <w14:textFill>
            <w14:solidFill>
              <w14:srgbClr w14:val="111111"/>
            </w14:solidFill>
          </w14:textFill>
        </w:rPr>
        <w:t>Gregory Odutayo, fta</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14:textFill>
            <w14:solidFill>
              <w14:srgbClr w14:val="111111"/>
            </w14:solidFill>
          </w14:textFill>
        </w:rPr>
        <w:t>Adetutu Makinde</w:t>
      </w:r>
    </w:p>
    <w:p>
      <w:pPr>
        <w:pStyle w:val="Default"/>
        <w:numPr>
          <w:ilvl w:val="0"/>
          <w:numId w:val="2"/>
        </w:numPr>
        <w:bidi w:val="0"/>
        <w:spacing w:before="240" w:line="250" w:lineRule="auto"/>
        <w:ind w:right="0"/>
        <w:jc w:val="left"/>
        <w:rPr>
          <w:rFonts w:ascii="Helvetica" w:hAnsi="Helvetica"/>
          <w:outline w:val="0"/>
          <w:color w:val="111111"/>
          <w:sz w:val="28"/>
          <w:szCs w:val="28"/>
          <w:rtl w:val="0"/>
          <w14:textFill>
            <w14:solidFill>
              <w14:srgbClr w14:val="111111"/>
            </w14:solidFill>
          </w14:textFill>
        </w:rPr>
      </w:pPr>
      <w:r>
        <w:rPr>
          <w:rFonts w:ascii="Helvetica" w:hAnsi="Helvetica"/>
          <w:outline w:val="0"/>
          <w:color w:val="111111"/>
          <w:sz w:val="28"/>
          <w:szCs w:val="28"/>
          <w:rtl w:val="0"/>
          <w14:textFill>
            <w14:solidFill>
              <w14:srgbClr w14:val="111111"/>
            </w14:solidFill>
          </w14:textFill>
        </w:rPr>
        <w:t>Qudus Onikeku</w:t>
      </w:r>
    </w:p>
    <w:p>
      <w:pPr>
        <w:pStyle w:val="Default"/>
        <w:numPr>
          <w:ilvl w:val="0"/>
          <w:numId w:val="2"/>
        </w:numPr>
        <w:bidi w:val="0"/>
        <w:spacing w:before="240" w:line="250" w:lineRule="auto"/>
        <w:ind w:right="0"/>
        <w:jc w:val="left"/>
        <w:rPr>
          <w:rFonts w:ascii="Helvetica" w:hAnsi="Helvetica"/>
          <w:outline w:val="0"/>
          <w:color w:val="111111"/>
          <w:sz w:val="28"/>
          <w:szCs w:val="28"/>
          <w:rtl w:val="0"/>
          <w14:textFill>
            <w14:solidFill>
              <w14:srgbClr w14:val="111111"/>
            </w14:solidFill>
          </w14:textFill>
        </w:rPr>
      </w:pPr>
      <w:r>
        <w:rPr>
          <w:rFonts w:ascii="Helvetica" w:hAnsi="Helvetica"/>
          <w:outline w:val="0"/>
          <w:color w:val="111111"/>
          <w:sz w:val="28"/>
          <w:szCs w:val="28"/>
          <w:rtl w:val="0"/>
          <w14:textFill>
            <w14:solidFill>
              <w14:srgbClr w14:val="111111"/>
            </w14:solidFill>
          </w14:textFill>
        </w:rPr>
        <w:t>Tony Okuyeme</w:t>
      </w:r>
    </w:p>
    <w:p>
      <w:pPr>
        <w:pStyle w:val="Default"/>
        <w:numPr>
          <w:ilvl w:val="0"/>
          <w:numId w:val="2"/>
        </w:numPr>
        <w:bidi w:val="0"/>
        <w:spacing w:before="240" w:line="250" w:lineRule="auto"/>
        <w:ind w:right="0"/>
        <w:jc w:val="left"/>
        <w:rPr>
          <w:rFonts w:ascii="Helvetica" w:hAnsi="Helvetica"/>
          <w:outline w:val="0"/>
          <w:color w:val="111111"/>
          <w:sz w:val="28"/>
          <w:szCs w:val="28"/>
          <w:rtl w:val="0"/>
          <w14:textFill>
            <w14:solidFill>
              <w14:srgbClr w14:val="111111"/>
            </w14:solidFill>
          </w14:textFill>
        </w:rPr>
      </w:pPr>
      <w:r>
        <w:rPr>
          <w:rFonts w:ascii="Helvetica" w:hAnsi="Helvetica"/>
          <w:outline w:val="0"/>
          <w:color w:val="111111"/>
          <w:sz w:val="28"/>
          <w:szCs w:val="28"/>
          <w:rtl w:val="0"/>
          <w14:textFill>
            <w14:solidFill>
              <w14:srgbClr w14:val="111111"/>
            </w14:solidFill>
          </w14:textFill>
        </w:rPr>
        <w:t>Amos Aveh</w:t>
      </w:r>
    </w:p>
    <w:p>
      <w:pPr>
        <w:pStyle w:val="Default"/>
        <w:numPr>
          <w:ilvl w:val="0"/>
          <w:numId w:val="2"/>
        </w:numPr>
        <w:bidi w:val="0"/>
        <w:spacing w:before="240" w:line="250" w:lineRule="auto"/>
        <w:ind w:right="0"/>
        <w:jc w:val="left"/>
        <w:rPr>
          <w:rFonts w:ascii="Helvetica" w:hAnsi="Helvetica"/>
          <w:outline w:val="0"/>
          <w:color w:val="111111"/>
          <w:sz w:val="28"/>
          <w:szCs w:val="28"/>
          <w:rtl w:val="0"/>
          <w14:textFill>
            <w14:solidFill>
              <w14:srgbClr w14:val="111111"/>
            </w14:solidFill>
          </w14:textFill>
        </w:rPr>
      </w:pPr>
      <w:r>
        <w:rPr>
          <w:rFonts w:ascii="Helvetica" w:hAnsi="Helvetica"/>
          <w:outline w:val="0"/>
          <w:color w:val="111111"/>
          <w:sz w:val="28"/>
          <w:szCs w:val="28"/>
          <w:rtl w:val="0"/>
          <w14:textFill>
            <w14:solidFill>
              <w14:srgbClr w14:val="111111"/>
            </w14:solidFill>
          </w14:textFill>
        </w:rPr>
        <w:t>Awele Dekpe</w:t>
      </w:r>
    </w:p>
    <w:p>
      <w:pPr>
        <w:pStyle w:val="Default"/>
        <w:numPr>
          <w:ilvl w:val="0"/>
          <w:numId w:val="2"/>
        </w:numPr>
        <w:bidi w:val="0"/>
        <w:spacing w:before="240" w:line="250" w:lineRule="auto"/>
        <w:ind w:right="0"/>
        <w:jc w:val="left"/>
        <w:rPr>
          <w:rFonts w:ascii="Helvetica" w:hAnsi="Helvetica"/>
          <w:outline w:val="0"/>
          <w:color w:val="111111"/>
          <w:sz w:val="28"/>
          <w:szCs w:val="28"/>
          <w:rtl w:val="0"/>
          <w14:textFill>
            <w14:solidFill>
              <w14:srgbClr w14:val="111111"/>
            </w14:solidFill>
          </w14:textFill>
        </w:rPr>
      </w:pPr>
      <w:r>
        <w:rPr>
          <w:rFonts w:ascii="Helvetica" w:hAnsi="Helvetica"/>
          <w:outline w:val="0"/>
          <w:color w:val="111111"/>
          <w:sz w:val="28"/>
          <w:szCs w:val="28"/>
          <w:rtl w:val="0"/>
          <w14:textFill>
            <w14:solidFill>
              <w14:srgbClr w14:val="111111"/>
            </w14:solidFill>
          </w14:textFill>
        </w:rPr>
        <w:t>Seun Awobajo</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Helvetica" w:hAnsi="Helvetica"/>
          <w:b w:val="1"/>
          <w:bCs w:val="1"/>
          <w:outline w:val="0"/>
          <w:color w:val="111111"/>
          <w:sz w:val="28"/>
          <w:szCs w:val="28"/>
          <w:rtl w:val="0"/>
          <w:lang w:val="en-US"/>
          <w14:textFill>
            <w14:solidFill>
              <w14:srgbClr w14:val="111111"/>
            </w14:solidFill>
          </w14:textFill>
        </w:rPr>
        <w:t>Preamble</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The meeting provided a platform for open dialogue among practitioners, administrators, and policymakers on the current realities, challenges, and future direction of theatre practice in Nigeria, particularly in relation to the repositioning of the National Theatre under a public-private partnership framework.</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Helvetica" w:hAnsi="Helvetica"/>
          <w:b w:val="1"/>
          <w:bCs w:val="1"/>
          <w:outline w:val="0"/>
          <w:color w:val="111111"/>
          <w:sz w:val="28"/>
          <w:szCs w:val="28"/>
          <w:rtl w:val="0"/>
          <w:lang w:val="en-US"/>
          <w14:textFill>
            <w14:solidFill>
              <w14:srgbClr w14:val="111111"/>
            </w14:solidFill>
          </w14:textFill>
        </w:rPr>
        <w:t>Key Issues Discussed</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1.</w:t>
        <w:tab/>
      </w:r>
      <w:r>
        <w:rPr>
          <w:rFonts w:ascii="Helvetica" w:hAnsi="Helvetica"/>
          <w:b w:val="1"/>
          <w:bCs w:val="1"/>
          <w:outline w:val="0"/>
          <w:color w:val="111111"/>
          <w:sz w:val="28"/>
          <w:szCs w:val="28"/>
          <w:rtl w:val="0"/>
          <w:lang w:val="en-US"/>
          <w14:textFill>
            <w14:solidFill>
              <w14:srgbClr w14:val="111111"/>
            </w14:solidFill>
          </w14:textFill>
        </w:rPr>
        <w:t>Governance and Operational Structure of the National Theatre</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Participants acknowledged the complexities arising from the public-private partnership arrangement governing the National Theatre. Concerns were raised about balancing commercial viability with cultural responsibility, as well as the need for clarity in governance, stakeholder roles, and access.</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2.</w:t>
        <w:tab/>
      </w:r>
      <w:r>
        <w:rPr>
          <w:rFonts w:ascii="Helvetica" w:hAnsi="Helvetica"/>
          <w:b w:val="1"/>
          <w:bCs w:val="1"/>
          <w:outline w:val="0"/>
          <w:color w:val="111111"/>
          <w:sz w:val="28"/>
          <w:szCs w:val="28"/>
          <w:rtl w:val="0"/>
          <w:lang w:val="en-US"/>
          <w14:textFill>
            <w14:solidFill>
              <w14:srgbClr w14:val="111111"/>
            </w14:solidFill>
          </w14:textFill>
        </w:rPr>
        <w:t>Accessibility and Cost of Use</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The high cost of utilizing the National Theatre facilities was identified as a major barrier to practitioners. Stakeholders emphasized that limited access could hinder artistic production and return the sector to stagnation if not addressed.</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3.</w:t>
        <w:tab/>
      </w:r>
      <w:r>
        <w:rPr>
          <w:rFonts w:ascii="Helvetica" w:hAnsi="Helvetica"/>
          <w:b w:val="1"/>
          <w:bCs w:val="1"/>
          <w:outline w:val="0"/>
          <w:color w:val="111111"/>
          <w:sz w:val="28"/>
          <w:szCs w:val="28"/>
          <w:rtl w:val="0"/>
          <w:lang w:val="en-US"/>
          <w14:textFill>
            <w14:solidFill>
              <w14:srgbClr w14:val="111111"/>
            </w14:solidFill>
          </w14:textFill>
        </w:rPr>
        <w:t>Programming vs. Commercialization</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A strong consensus emerged that the National Theatre must not be reduced to a mere event centre. It must remain a hub for cultural programming, artistic development, and the preservation and presentation of Nigerian heritage.</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4.</w:t>
        <w:tab/>
      </w:r>
      <w:r>
        <w:rPr>
          <w:rFonts w:ascii="Helvetica" w:hAnsi="Helvetica"/>
          <w:b w:val="1"/>
          <w:bCs w:val="1"/>
          <w:outline w:val="0"/>
          <w:color w:val="111111"/>
          <w:sz w:val="28"/>
          <w:szCs w:val="28"/>
          <w:rtl w:val="0"/>
          <w:lang w:val="en-US"/>
          <w14:textFill>
            <w14:solidFill>
              <w14:srgbClr w14:val="111111"/>
            </w14:solidFill>
          </w14:textFill>
        </w:rPr>
        <w:t>Need for Structured Theatre Companies</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Participants stressed the importance of institutionalizing theatre practice through properly structured organizations rather than individual-led initiatives. This would improve accountability, sustainability, and eligibility for funding and partnerships.</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5.</w:t>
        <w:tab/>
      </w:r>
      <w:r>
        <w:rPr>
          <w:rFonts w:ascii="Helvetica" w:hAnsi="Helvetica"/>
          <w:b w:val="1"/>
          <w:bCs w:val="1"/>
          <w:outline w:val="0"/>
          <w:color w:val="111111"/>
          <w:sz w:val="28"/>
          <w:szCs w:val="28"/>
          <w:rtl w:val="0"/>
          <w:lang w:val="en-US"/>
          <w14:textFill>
            <w14:solidFill>
              <w14:srgbClr w14:val="111111"/>
            </w14:solidFill>
          </w14:textFill>
        </w:rPr>
        <w:t>Capacity Building and Training Gaps</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While acknowledging ongoing training initiatives, stakeholders noted the absence of a clear pipeline linking training to opportunities. The need for structured, outcome-driven capacity building programs was emphasized.</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6.</w:t>
        <w:tab/>
      </w:r>
      <w:r>
        <w:rPr>
          <w:rFonts w:ascii="Helvetica" w:hAnsi="Helvetica"/>
          <w:b w:val="1"/>
          <w:bCs w:val="1"/>
          <w:outline w:val="0"/>
          <w:color w:val="111111"/>
          <w:sz w:val="28"/>
          <w:szCs w:val="28"/>
          <w:rtl w:val="0"/>
          <w:lang w:val="en-US"/>
          <w14:textFill>
            <w14:solidFill>
              <w14:srgbClr w14:val="111111"/>
            </w14:solidFill>
          </w14:textFill>
        </w:rPr>
        <w:t>Market Access and Audience Development</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Stakeholders highlighted the need to prioritize market access, visibility, and audience development. The National Theatre should serve as a marketplace for creative works, attracting investors, audiences, and international collaborations.</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7.</w:t>
        <w:tab/>
      </w:r>
      <w:r>
        <w:rPr>
          <w:rFonts w:ascii="Helvetica" w:hAnsi="Helvetica"/>
          <w:b w:val="1"/>
          <w:bCs w:val="1"/>
          <w:outline w:val="0"/>
          <w:color w:val="111111"/>
          <w:sz w:val="28"/>
          <w:szCs w:val="28"/>
          <w:rtl w:val="0"/>
          <w:lang w:val="en-US"/>
          <w14:textFill>
            <w14:solidFill>
              <w14:srgbClr w14:val="111111"/>
            </w14:solidFill>
          </w14:textFill>
        </w:rPr>
        <w:t>Festival and National Programming Strategy</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A proposal was made for the establishment of a flagship National Theatre Festival to unify practitioners, attract funding, and serve as a focal point for the industry annually.</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8.</w:t>
        <w:tab/>
      </w:r>
      <w:r>
        <w:rPr>
          <w:rFonts w:ascii="Helvetica" w:hAnsi="Helvetica"/>
          <w:b w:val="1"/>
          <w:bCs w:val="1"/>
          <w:outline w:val="0"/>
          <w:color w:val="111111"/>
          <w:sz w:val="28"/>
          <w:szCs w:val="28"/>
          <w:rtl w:val="0"/>
          <w:lang w:val="en-US"/>
          <w14:textFill>
            <w14:solidFill>
              <w14:srgbClr w14:val="111111"/>
            </w14:solidFill>
          </w14:textFill>
        </w:rPr>
        <w:t>Funding and Sustainability</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The meeting explored various funding models, including:</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lang w:val="en-US"/>
          <w14:textFill>
            <w14:solidFill>
              <w14:srgbClr w14:val="111111"/>
            </w14:solidFill>
          </w14:textFill>
        </w:rPr>
        <w:t>Increased private sector sponsorship</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lang w:val="en-US"/>
          <w14:textFill>
            <w14:solidFill>
              <w14:srgbClr w14:val="111111"/>
            </w14:solidFill>
          </w14:textFill>
        </w:rPr>
        <w:t>Development of special purpose investment vehicles for productions</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lang w:val="en-US"/>
          <w14:textFill>
            <w14:solidFill>
              <w14:srgbClr w14:val="111111"/>
            </w14:solidFill>
          </w14:textFill>
        </w:rPr>
        <w:t>Ticket pre-sales and corporate bulk purchases</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r>
        <w:rPr>
          <w:rFonts w:ascii="Helvetica" w:cs="Helvetica" w:hAnsi="Helvetica" w:eastAsia="Helvetica"/>
          <w:outline w:val="0"/>
          <w:color w:val="111111"/>
          <w:sz w:val="28"/>
          <w:szCs w:val="28"/>
          <w:rtl w:val="0"/>
          <w14:textFill>
            <w14:solidFill>
              <w14:srgbClr w14:val="111111"/>
            </w14:solidFill>
          </w14:textFill>
        </w:rPr>
        <w:tab/>
        <w:t>•</w:t>
        <w:tab/>
      </w:r>
      <w:r>
        <w:rPr>
          <w:rFonts w:ascii="Helvetica" w:hAnsi="Helvetica"/>
          <w:outline w:val="0"/>
          <w:color w:val="111111"/>
          <w:sz w:val="28"/>
          <w:szCs w:val="28"/>
          <w:rtl w:val="0"/>
          <w:lang w:val="en-US"/>
          <w14:textFill>
            <w14:solidFill>
              <w14:srgbClr w14:val="111111"/>
            </w14:solidFill>
          </w14:textFill>
        </w:rPr>
        <w:t>Strategic partnerships across creative sectors</w:t>
      </w:r>
    </w:p>
    <w:p>
      <w:pPr>
        <w:pStyle w:val="Default"/>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bidi w:val="0"/>
        <w:spacing w:before="240" w:line="250" w:lineRule="auto"/>
        <w:ind w:left="260" w:right="0" w:hanging="26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right" w:pos="52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 w:val="left" w:pos="1720"/>
          <w:tab w:val="left" w:pos="1740"/>
          <w:tab w:val="left" w:pos="1760"/>
          <w:tab w:val="left" w:pos="1780"/>
          <w:tab w:val="left" w:pos="1800"/>
          <w:tab w:val="left" w:pos="1820"/>
          <w:tab w:val="left" w:pos="1840"/>
          <w:tab w:val="left" w:pos="1860"/>
          <w:tab w:val="left" w:pos="1880"/>
          <w:tab w:val="left" w:pos="1900"/>
          <w:tab w:val="left" w:pos="1920"/>
        </w:tabs>
        <w:bidi w:val="0"/>
        <w:spacing w:before="240" w:line="250" w:lineRule="auto"/>
        <w:ind w:left="680" w:right="0" w:hanging="68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9.</w:t>
        <w:tab/>
      </w:r>
      <w:r>
        <w:rPr>
          <w:rFonts w:ascii="Helvetica" w:hAnsi="Helvetica"/>
          <w:b w:val="1"/>
          <w:bCs w:val="1"/>
          <w:outline w:val="0"/>
          <w:color w:val="111111"/>
          <w:sz w:val="28"/>
          <w:szCs w:val="28"/>
          <w:rtl w:val="0"/>
          <w:lang w:val="en-US"/>
          <w14:textFill>
            <w14:solidFill>
              <w14:srgbClr w14:val="111111"/>
            </w14:solidFill>
          </w14:textFill>
        </w:rPr>
        <w:t>Endowment/Trust Fund Proposal</w:t>
      </w:r>
    </w:p>
    <w:p>
      <w:pPr>
        <w:pStyle w:val="Default"/>
        <w:tabs>
          <w:tab w:val="right" w:pos="52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 w:val="left" w:pos="1720"/>
          <w:tab w:val="left" w:pos="1740"/>
          <w:tab w:val="left" w:pos="1760"/>
          <w:tab w:val="left" w:pos="1780"/>
          <w:tab w:val="left" w:pos="1800"/>
          <w:tab w:val="left" w:pos="1820"/>
          <w:tab w:val="left" w:pos="1840"/>
          <w:tab w:val="left" w:pos="1860"/>
          <w:tab w:val="left" w:pos="1880"/>
          <w:tab w:val="left" w:pos="1900"/>
          <w:tab w:val="left" w:pos="1920"/>
        </w:tabs>
        <w:bidi w:val="0"/>
        <w:spacing w:before="240" w:line="250" w:lineRule="auto"/>
        <w:ind w:left="680" w:right="0" w:hanging="68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Stakeholders strongly supported the establishment of an independent endowment or trust fund for the National Theatre. Such a fund would ensure long-term sustainability through structured investment and transparent governance.</w:t>
      </w:r>
    </w:p>
    <w:p>
      <w:pPr>
        <w:pStyle w:val="Default"/>
        <w:tabs>
          <w:tab w:val="right" w:pos="52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 w:val="left" w:pos="1720"/>
          <w:tab w:val="left" w:pos="1740"/>
          <w:tab w:val="left" w:pos="1760"/>
          <w:tab w:val="left" w:pos="1780"/>
          <w:tab w:val="left" w:pos="1800"/>
          <w:tab w:val="left" w:pos="1820"/>
          <w:tab w:val="left" w:pos="1840"/>
          <w:tab w:val="left" w:pos="1860"/>
          <w:tab w:val="left" w:pos="1880"/>
          <w:tab w:val="left" w:pos="1900"/>
          <w:tab w:val="left" w:pos="1920"/>
        </w:tabs>
        <w:bidi w:val="0"/>
        <w:spacing w:before="240" w:line="250" w:lineRule="auto"/>
        <w:ind w:left="680" w:right="0" w:hanging="68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10.</w:t>
        <w:tab/>
      </w:r>
      <w:r>
        <w:rPr>
          <w:rFonts w:ascii="Helvetica" w:hAnsi="Helvetica"/>
          <w:b w:val="1"/>
          <w:bCs w:val="1"/>
          <w:outline w:val="0"/>
          <w:color w:val="111111"/>
          <w:sz w:val="28"/>
          <w:szCs w:val="28"/>
          <w:rtl w:val="0"/>
          <w:lang w:val="en-US"/>
          <w14:textFill>
            <w14:solidFill>
              <w14:srgbClr w14:val="111111"/>
            </w14:solidFill>
          </w14:textFill>
        </w:rPr>
        <w:t>Policy and Government Engagement</w:t>
      </w:r>
    </w:p>
    <w:p>
      <w:pPr>
        <w:pStyle w:val="Default"/>
        <w:tabs>
          <w:tab w:val="right" w:pos="52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 w:val="left" w:pos="1720"/>
          <w:tab w:val="left" w:pos="1740"/>
          <w:tab w:val="left" w:pos="1760"/>
          <w:tab w:val="left" w:pos="1780"/>
          <w:tab w:val="left" w:pos="1800"/>
          <w:tab w:val="left" w:pos="1820"/>
          <w:tab w:val="left" w:pos="1840"/>
          <w:tab w:val="left" w:pos="1860"/>
          <w:tab w:val="left" w:pos="1880"/>
          <w:tab w:val="left" w:pos="1900"/>
          <w:tab w:val="left" w:pos="1920"/>
        </w:tabs>
        <w:bidi w:val="0"/>
        <w:spacing w:before="240" w:line="250" w:lineRule="auto"/>
        <w:ind w:left="680" w:right="0" w:hanging="68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Concerns were raised about inconsistent policies and lack of stakeholder inclusion in decision-making. Participants called for stronger engagement with government and the development of stable, inclusive policies for the sector.</w:t>
      </w:r>
    </w:p>
    <w:p>
      <w:pPr>
        <w:pStyle w:val="Default"/>
        <w:tabs>
          <w:tab w:val="right" w:pos="52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 w:val="left" w:pos="1720"/>
          <w:tab w:val="left" w:pos="1740"/>
          <w:tab w:val="left" w:pos="1760"/>
          <w:tab w:val="left" w:pos="1780"/>
          <w:tab w:val="left" w:pos="1800"/>
          <w:tab w:val="left" w:pos="1820"/>
          <w:tab w:val="left" w:pos="1840"/>
          <w:tab w:val="left" w:pos="1860"/>
          <w:tab w:val="left" w:pos="1880"/>
          <w:tab w:val="left" w:pos="1900"/>
          <w:tab w:val="left" w:pos="1920"/>
        </w:tabs>
        <w:bidi w:val="0"/>
        <w:spacing w:before="240" w:line="250" w:lineRule="auto"/>
        <w:ind w:left="680" w:right="0" w:hanging="68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Times New Roman" w:cs="Times New Roman" w:hAnsi="Times New Roman" w:eastAsia="Times New Roman"/>
          <w:b w:val="0"/>
          <w:bCs w:val="0"/>
          <w:outline w:val="0"/>
          <w:color w:val="111111"/>
          <w:sz w:val="28"/>
          <w:szCs w:val="28"/>
          <w:rtl w:val="0"/>
          <w14:textFill>
            <w14:solidFill>
              <w14:srgbClr w14:val="111111"/>
            </w14:solidFill>
          </w14:textFill>
        </w:rPr>
        <w:tab/>
        <w:t>11.</w:t>
        <w:tab/>
      </w:r>
      <w:r>
        <w:rPr>
          <w:rFonts w:ascii="Helvetica" w:hAnsi="Helvetica"/>
          <w:b w:val="1"/>
          <w:bCs w:val="1"/>
          <w:outline w:val="0"/>
          <w:color w:val="111111"/>
          <w:sz w:val="28"/>
          <w:szCs w:val="28"/>
          <w:rtl w:val="0"/>
          <w:lang w:val="en-US"/>
          <w14:textFill>
            <w14:solidFill>
              <w14:srgbClr w14:val="111111"/>
            </w14:solidFill>
          </w14:textFill>
        </w:rPr>
        <w:t>Public Awareness and Visibility</w:t>
      </w:r>
    </w:p>
    <w:p>
      <w:pPr>
        <w:pStyle w:val="Default"/>
        <w:tabs>
          <w:tab w:val="right" w:pos="52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 w:val="left" w:pos="1720"/>
          <w:tab w:val="left" w:pos="1740"/>
          <w:tab w:val="left" w:pos="1760"/>
          <w:tab w:val="left" w:pos="1780"/>
          <w:tab w:val="left" w:pos="1800"/>
          <w:tab w:val="left" w:pos="1820"/>
          <w:tab w:val="left" w:pos="1840"/>
          <w:tab w:val="left" w:pos="1860"/>
          <w:tab w:val="left" w:pos="1880"/>
          <w:tab w:val="left" w:pos="1900"/>
          <w:tab w:val="left" w:pos="1920"/>
        </w:tabs>
        <w:bidi w:val="0"/>
        <w:spacing w:before="240" w:line="250" w:lineRule="auto"/>
        <w:ind w:left="680" w:right="0" w:hanging="68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The need for aggressive marketing and public engagement was emphasized, as many Nigerians remain unaware of the current state and opportunities within the National Theatre.</w:t>
      </w:r>
    </w:p>
    <w:p>
      <w:pPr>
        <w:pStyle w:val="Default"/>
        <w:tabs>
          <w:tab w:val="right" w:pos="52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 w:val="left" w:pos="1720"/>
          <w:tab w:val="left" w:pos="1740"/>
          <w:tab w:val="left" w:pos="1760"/>
          <w:tab w:val="left" w:pos="1780"/>
          <w:tab w:val="left" w:pos="1800"/>
          <w:tab w:val="left" w:pos="1820"/>
          <w:tab w:val="left" w:pos="1840"/>
          <w:tab w:val="left" w:pos="1860"/>
          <w:tab w:val="left" w:pos="1880"/>
          <w:tab w:val="left" w:pos="1900"/>
          <w:tab w:val="left" w:pos="1920"/>
        </w:tabs>
        <w:bidi w:val="0"/>
        <w:spacing w:before="240" w:line="250" w:lineRule="auto"/>
        <w:ind w:left="680" w:right="0" w:hanging="68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Helvetica" w:hAnsi="Helvetica"/>
          <w:b w:val="1"/>
          <w:bCs w:val="1"/>
          <w:outline w:val="0"/>
          <w:color w:val="111111"/>
          <w:sz w:val="28"/>
          <w:szCs w:val="28"/>
          <w:rtl w:val="0"/>
          <w:lang w:val="fr-FR"/>
          <w14:textFill>
            <w14:solidFill>
              <w14:srgbClr w14:val="111111"/>
            </w14:solidFill>
          </w14:textFill>
        </w:rPr>
        <w:t>Resolutions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After extensive deliberations, the following resolutions were adopted:</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Times New Roman" w:cs="Times New Roman" w:hAnsi="Times New Roman" w:eastAsia="Times New Roman"/>
          <w:outline w:val="0"/>
          <w:color w:val="111111"/>
          <w:sz w:val="28"/>
          <w:szCs w:val="28"/>
          <w:rtl w:val="0"/>
          <w14:textFill>
            <w14:solidFill>
              <w14:srgbClr w14:val="111111"/>
            </w14:solidFill>
          </w14:textFill>
        </w:rPr>
      </w:pPr>
      <w:r>
        <w:rPr>
          <w:rFonts w:ascii="Times New Roman" w:cs="Times New Roman" w:hAnsi="Times New Roman" w:eastAsia="Times New Roman"/>
          <w:outline w:val="0"/>
          <w:color w:val="111111"/>
          <w:sz w:val="28"/>
          <w:szCs w:val="28"/>
          <w:rtl w:val="0"/>
          <w14:textFill>
            <w14:solidFill>
              <w14:srgbClr w14:val="111111"/>
            </w14:solidFill>
          </w14:textFill>
        </w:rPr>
        <w:tab/>
        <w:t>1.</w:t>
        <w:tab/>
        <w:t>The National Theatre must be repositioned primarily as a cultural and creative hub, with commercial activities serving as support rather than the core mandate.</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Times New Roman" w:cs="Times New Roman" w:hAnsi="Times New Roman" w:eastAsia="Times New Roman"/>
          <w:outline w:val="0"/>
          <w:color w:val="111111"/>
          <w:sz w:val="28"/>
          <w:szCs w:val="28"/>
          <w:rtl w:val="0"/>
          <w14:textFill>
            <w14:solidFill>
              <w14:srgbClr w14:val="111111"/>
            </w14:solidFill>
          </w14:textFill>
        </w:rPr>
      </w:pPr>
      <w:r>
        <w:rPr>
          <w:rFonts w:ascii="Times New Roman" w:cs="Times New Roman" w:hAnsi="Times New Roman" w:eastAsia="Times New Roman"/>
          <w:outline w:val="0"/>
          <w:color w:val="111111"/>
          <w:sz w:val="28"/>
          <w:szCs w:val="28"/>
          <w:rtl w:val="0"/>
          <w14:textFill>
            <w14:solidFill>
              <w14:srgbClr w14:val="111111"/>
            </w14:solidFill>
          </w14:textFill>
        </w:rPr>
        <w:tab/>
        <w:t>2.</w:t>
        <w:tab/>
        <w:t>A structured framework should be developed to improve access for practitioners, including subsidized rates or allocated creative-use spaces.</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Times New Roman" w:cs="Times New Roman" w:hAnsi="Times New Roman" w:eastAsia="Times New Roman"/>
          <w:outline w:val="0"/>
          <w:color w:val="111111"/>
          <w:sz w:val="28"/>
          <w:szCs w:val="28"/>
          <w:rtl w:val="0"/>
          <w14:textFill>
            <w14:solidFill>
              <w14:srgbClr w14:val="111111"/>
            </w14:solidFill>
          </w14:textFill>
        </w:rPr>
      </w:pPr>
      <w:r>
        <w:rPr>
          <w:rFonts w:ascii="Times New Roman" w:cs="Times New Roman" w:hAnsi="Times New Roman" w:eastAsia="Times New Roman"/>
          <w:outline w:val="0"/>
          <w:color w:val="111111"/>
          <w:sz w:val="28"/>
          <w:szCs w:val="28"/>
          <w:rtl w:val="0"/>
          <w14:textFill>
            <w14:solidFill>
              <w14:srgbClr w14:val="111111"/>
            </w14:solidFill>
          </w14:textFill>
        </w:rPr>
        <w:tab/>
        <w:t>3.</w:t>
        <w:tab/>
        <w:t>Theatre practitioners are encouraged to build properly structured organizations to enhance sustainability and attract funding.</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Times New Roman" w:cs="Times New Roman" w:hAnsi="Times New Roman" w:eastAsia="Times New Roman"/>
          <w:outline w:val="0"/>
          <w:color w:val="111111"/>
          <w:sz w:val="28"/>
          <w:szCs w:val="28"/>
          <w:rtl w:val="0"/>
          <w14:textFill>
            <w14:solidFill>
              <w14:srgbClr w14:val="111111"/>
            </w14:solidFill>
          </w14:textFill>
        </w:rPr>
      </w:pPr>
      <w:r>
        <w:rPr>
          <w:rFonts w:ascii="Times New Roman" w:cs="Times New Roman" w:hAnsi="Times New Roman" w:eastAsia="Times New Roman"/>
          <w:outline w:val="0"/>
          <w:color w:val="111111"/>
          <w:sz w:val="28"/>
          <w:szCs w:val="28"/>
          <w:rtl w:val="0"/>
          <w14:textFill>
            <w14:solidFill>
              <w14:srgbClr w14:val="111111"/>
            </w14:solidFill>
          </w14:textFill>
        </w:rPr>
        <w:tab/>
        <w:t>4.</w:t>
        <w:tab/>
        <w:t>A comprehensive capacity-building pipeline linking training to production and employment opportunities should be established.</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Times New Roman" w:cs="Times New Roman" w:hAnsi="Times New Roman" w:eastAsia="Times New Roman"/>
          <w:outline w:val="0"/>
          <w:color w:val="111111"/>
          <w:sz w:val="28"/>
          <w:szCs w:val="28"/>
          <w:rtl w:val="0"/>
          <w14:textFill>
            <w14:solidFill>
              <w14:srgbClr w14:val="111111"/>
            </w14:solidFill>
          </w14:textFill>
        </w:rPr>
      </w:pPr>
      <w:r>
        <w:rPr>
          <w:rFonts w:ascii="Times New Roman" w:cs="Times New Roman" w:hAnsi="Times New Roman" w:eastAsia="Times New Roman"/>
          <w:outline w:val="0"/>
          <w:color w:val="111111"/>
          <w:sz w:val="28"/>
          <w:szCs w:val="28"/>
          <w:rtl w:val="0"/>
          <w14:textFill>
            <w14:solidFill>
              <w14:srgbClr w14:val="111111"/>
            </w14:solidFill>
          </w14:textFill>
        </w:rPr>
        <w:tab/>
        <w:t>5.</w:t>
        <w:tab/>
        <w:t>A flagship annual National Theatre Festival should be instituted to unify stakeholders and drive industry growth.</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Times New Roman" w:cs="Times New Roman" w:hAnsi="Times New Roman" w:eastAsia="Times New Roman"/>
          <w:outline w:val="0"/>
          <w:color w:val="111111"/>
          <w:sz w:val="28"/>
          <w:szCs w:val="28"/>
          <w:rtl w:val="0"/>
          <w14:textFill>
            <w14:solidFill>
              <w14:srgbClr w14:val="111111"/>
            </w14:solidFill>
          </w14:textFill>
        </w:rPr>
      </w:pPr>
      <w:r>
        <w:rPr>
          <w:rFonts w:ascii="Times New Roman" w:cs="Times New Roman" w:hAnsi="Times New Roman" w:eastAsia="Times New Roman"/>
          <w:outline w:val="0"/>
          <w:color w:val="111111"/>
          <w:sz w:val="28"/>
          <w:szCs w:val="28"/>
          <w:rtl w:val="0"/>
          <w14:textFill>
            <w14:solidFill>
              <w14:srgbClr w14:val="111111"/>
            </w14:solidFill>
          </w14:textFill>
        </w:rPr>
        <w:tab/>
        <w:t>6.</w:t>
        <w:tab/>
        <w:t>An independent National Theatre Endowment/Trust Fund should be urgently developed to ensure long-term financial sustainability.</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Times New Roman" w:cs="Times New Roman" w:hAnsi="Times New Roman" w:eastAsia="Times New Roman"/>
          <w:outline w:val="0"/>
          <w:color w:val="111111"/>
          <w:sz w:val="28"/>
          <w:szCs w:val="28"/>
          <w:rtl w:val="0"/>
          <w14:textFill>
            <w14:solidFill>
              <w14:srgbClr w14:val="111111"/>
            </w14:solidFill>
          </w14:textFill>
        </w:rPr>
      </w:pPr>
      <w:r>
        <w:rPr>
          <w:rFonts w:ascii="Times New Roman" w:cs="Times New Roman" w:hAnsi="Times New Roman" w:eastAsia="Times New Roman"/>
          <w:outline w:val="0"/>
          <w:color w:val="111111"/>
          <w:sz w:val="28"/>
          <w:szCs w:val="28"/>
          <w:rtl w:val="0"/>
          <w14:textFill>
            <w14:solidFill>
              <w14:srgbClr w14:val="111111"/>
            </w14:solidFill>
          </w14:textFill>
        </w:rPr>
        <w:tab/>
        <w:t>7.</w:t>
        <w:tab/>
        <w:t>Strategic efforts should be made to enhance audience development and market access through innovative programming and partnerships.</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Times New Roman" w:cs="Times New Roman" w:hAnsi="Times New Roman" w:eastAsia="Times New Roman"/>
          <w:outline w:val="0"/>
          <w:color w:val="111111"/>
          <w:sz w:val="28"/>
          <w:szCs w:val="28"/>
          <w:rtl w:val="0"/>
          <w14:textFill>
            <w14:solidFill>
              <w14:srgbClr w14:val="111111"/>
            </w14:solidFill>
          </w14:textFill>
        </w:rPr>
      </w:pPr>
      <w:r>
        <w:rPr>
          <w:rFonts w:ascii="Times New Roman" w:cs="Times New Roman" w:hAnsi="Times New Roman" w:eastAsia="Times New Roman"/>
          <w:outline w:val="0"/>
          <w:color w:val="111111"/>
          <w:sz w:val="28"/>
          <w:szCs w:val="28"/>
          <w:rtl w:val="0"/>
          <w14:textFill>
            <w14:solidFill>
              <w14:srgbClr w14:val="111111"/>
            </w14:solidFill>
          </w14:textFill>
        </w:rPr>
        <w:tab/>
        <w:t>8.</w:t>
        <w:tab/>
        <w:t>Stakeholders should engage government and policymakers to advocate for stable, inclusive, and sector-driven policies.</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Times New Roman" w:cs="Times New Roman" w:hAnsi="Times New Roman" w:eastAsia="Times New Roman"/>
          <w:outline w:val="0"/>
          <w:color w:val="111111"/>
          <w:sz w:val="28"/>
          <w:szCs w:val="28"/>
          <w:rtl w:val="0"/>
          <w14:textFill>
            <w14:solidFill>
              <w14:srgbClr w14:val="111111"/>
            </w14:solidFill>
          </w14:textFill>
        </w:rPr>
      </w:pPr>
      <w:r>
        <w:rPr>
          <w:rFonts w:ascii="Times New Roman" w:cs="Times New Roman" w:hAnsi="Times New Roman" w:eastAsia="Times New Roman"/>
          <w:outline w:val="0"/>
          <w:color w:val="111111"/>
          <w:sz w:val="28"/>
          <w:szCs w:val="28"/>
          <w:rtl w:val="0"/>
          <w14:textFill>
            <w14:solidFill>
              <w14:srgbClr w14:val="111111"/>
            </w14:solidFill>
          </w14:textFill>
        </w:rPr>
        <w:tab/>
        <w:t>9.</w:t>
        <w:tab/>
        <w:t>Increased publicity and awareness campaigns should be undertaken to reposition the National Theatre in the consciousness of Nigerians.</w:t>
      </w:r>
    </w:p>
    <w:p>
      <w:pPr>
        <w:pStyle w:val="Default"/>
        <w:tabs>
          <w:tab w:val="right" w:pos="30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 w:val="left" w:pos="1640"/>
          <w:tab w:val="left" w:pos="1660"/>
          <w:tab w:val="left" w:pos="1680"/>
          <w:tab w:val="left" w:pos="1700"/>
        </w:tabs>
        <w:bidi w:val="0"/>
        <w:spacing w:before="240" w:line="250" w:lineRule="auto"/>
        <w:ind w:left="460" w:right="0" w:hanging="460"/>
        <w:jc w:val="left"/>
        <w:rPr>
          <w:rFonts w:ascii="Times New Roman" w:cs="Times New Roman" w:hAnsi="Times New Roman" w:eastAsia="Times New Roman"/>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Helvetica" w:hAnsi="Helvetica"/>
          <w:b w:val="1"/>
          <w:bCs w:val="1"/>
          <w:outline w:val="0"/>
          <w:color w:val="111111"/>
          <w:sz w:val="28"/>
          <w:szCs w:val="28"/>
          <w:rtl w:val="0"/>
          <w:lang w:val="it-IT"/>
          <w14:textFill>
            <w14:solidFill>
              <w14:srgbClr w14:val="111111"/>
            </w14:solidFill>
          </w14:textFill>
        </w:rPr>
        <w:t>Conclusion</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The stakeholders reaffirmed their collective commitment to the growth and sustainability of the Nigerian theatre industry. The meeting concluded with a call for continued collaboration, innovation, and strategic action to unlock the vast potential of the sector.</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b w:val="0"/>
          <w:bCs w:val="0"/>
          <w:outline w:val="0"/>
          <w:color w:val="111111"/>
          <w:sz w:val="28"/>
          <w:szCs w:val="28"/>
          <w:rtl w:val="0"/>
          <w14:textFill>
            <w14:solidFill>
              <w14:srgbClr w14:val="111111"/>
            </w14:solidFill>
          </w14:textFill>
        </w:rPr>
      </w:pPr>
      <w:r>
        <w:rPr>
          <w:rFonts w:ascii="Helvetica" w:hAnsi="Helvetica"/>
          <w:b w:val="1"/>
          <w:bCs w:val="1"/>
          <w:outline w:val="0"/>
          <w:color w:val="111111"/>
          <w:sz w:val="28"/>
          <w:szCs w:val="28"/>
          <w:rtl w:val="0"/>
          <w:lang w:val="en-US"/>
          <w14:textFill>
            <w14:solidFill>
              <w14:srgbClr w14:val="111111"/>
            </w14:solidFill>
          </w14:textFill>
        </w:rPr>
        <w:t>Issued by:</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en-US"/>
          <w14:textFill>
            <w14:solidFill>
              <w14:srgbClr w14:val="111111"/>
            </w14:solidFill>
          </w14:textFill>
        </w:rPr>
        <w:t>Stakeholders at the World Theatre Day Meeting</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Fonts w:ascii="Helvetica" w:cs="Helvetica" w:hAnsi="Helvetica" w:eastAsia="Helvetica"/>
          <w:outline w:val="0"/>
          <w:color w:val="111111"/>
          <w:sz w:val="28"/>
          <w:szCs w:val="28"/>
          <w:rtl w:val="0"/>
          <w14:textFill>
            <w14:solidFill>
              <w14:srgbClr w14:val="111111"/>
            </w14:solidFill>
          </w14:textFill>
        </w:rPr>
      </w:pPr>
      <w:r>
        <w:rPr>
          <w:rFonts w:ascii="Helvetica" w:hAnsi="Helvetica"/>
          <w:outline w:val="0"/>
          <w:color w:val="111111"/>
          <w:sz w:val="28"/>
          <w:szCs w:val="28"/>
          <w:rtl w:val="0"/>
          <w:lang w:val="pt-PT"/>
          <w14:textFill>
            <w14:solidFill>
              <w14:srgbClr w14:val="111111"/>
            </w14:solidFill>
          </w14:textFill>
        </w:rPr>
        <w:t>Lagos, Nigeria</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50" w:lineRule="auto"/>
        <w:ind w:left="0" w:right="0" w:firstLine="0"/>
        <w:jc w:val="left"/>
        <w:rPr>
          <w:rtl w:val="0"/>
        </w:rPr>
      </w:pPr>
      <w:r>
        <w:rPr>
          <w:rFonts w:ascii="Helvetica" w:hAnsi="Helvetica"/>
          <w:outline w:val="0"/>
          <w:color w:val="111111"/>
          <w:sz w:val="28"/>
          <w:szCs w:val="28"/>
          <w:rtl w:val="0"/>
          <w:lang w:val="en-US"/>
          <w14:textFill>
            <w14:solidFill>
              <w14:srgbClr w14:val="111111"/>
            </w14:solidFill>
          </w14:textFill>
        </w:rPr>
        <w:t>March 27, 2026</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tabs>
          <w:tab w:val="num" w:pos="229"/>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ind w:left="489" w:hanging="489"/>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right" w:pos="100"/>
          <w:tab w:val="left" w:pos="260"/>
          <w:tab w:val="num" w:pos="409"/>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s>
        <w:ind w:left="669" w:hanging="489"/>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tabs>
          <w:tab w:val="right" w:pos="100"/>
          <w:tab w:val="left" w:pos="260"/>
          <w:tab w:val="left" w:pos="280"/>
          <w:tab w:val="left" w:pos="300"/>
          <w:tab w:val="left" w:pos="320"/>
          <w:tab w:val="left" w:pos="340"/>
          <w:tab w:val="left" w:pos="360"/>
          <w:tab w:val="left" w:pos="380"/>
          <w:tab w:val="left" w:pos="400"/>
          <w:tab w:val="left" w:pos="420"/>
          <w:tab w:val="left" w:pos="440"/>
          <w:tab w:val="num" w:pos="589"/>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s>
        <w:ind w:left="849" w:hanging="489"/>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num" w:pos="769"/>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s>
        <w:ind w:left="1029" w:hanging="489"/>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num" w:pos="949"/>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s>
        <w:ind w:left="1209" w:hanging="489"/>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num" w:pos="1129"/>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s>
        <w:ind w:left="1389" w:hanging="489"/>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num" w:pos="1309"/>
          <w:tab w:val="left" w:pos="1320"/>
          <w:tab w:val="left" w:pos="1340"/>
          <w:tab w:val="left" w:pos="1360"/>
          <w:tab w:val="left" w:pos="1380"/>
          <w:tab w:val="left" w:pos="1400"/>
          <w:tab w:val="left" w:pos="1420"/>
          <w:tab w:val="left" w:pos="1440"/>
          <w:tab w:val="left" w:pos="1460"/>
          <w:tab w:val="left" w:pos="1480"/>
          <w:tab w:val="left" w:pos="1500"/>
          <w:tab w:val="left" w:pos="1520"/>
          <w:tab w:val="left" w:pos="1540"/>
          <w:tab w:val="left" w:pos="1560"/>
          <w:tab w:val="left" w:pos="1580"/>
          <w:tab w:val="left" w:pos="1600"/>
          <w:tab w:val="left" w:pos="1620"/>
        </w:tabs>
        <w:ind w:left="1569" w:hanging="489"/>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num" w:pos="1489"/>
          <w:tab w:val="left" w:pos="1500"/>
          <w:tab w:val="left" w:pos="1520"/>
          <w:tab w:val="left" w:pos="1540"/>
          <w:tab w:val="left" w:pos="1560"/>
          <w:tab w:val="left" w:pos="1580"/>
          <w:tab w:val="left" w:pos="1600"/>
          <w:tab w:val="left" w:pos="1620"/>
        </w:tabs>
        <w:ind w:left="1749" w:hanging="489"/>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tabs>
          <w:tab w:val="right" w:pos="100"/>
          <w:tab w:val="left" w:pos="260"/>
          <w:tab w:val="left" w:pos="280"/>
          <w:tab w:val="left" w:pos="300"/>
          <w:tab w:val="left" w:pos="320"/>
          <w:tab w:val="left" w:pos="340"/>
          <w:tab w:val="left" w:pos="360"/>
          <w:tab w:val="left" w:pos="380"/>
          <w:tab w:val="left" w:pos="400"/>
          <w:tab w:val="left" w:pos="420"/>
          <w:tab w:val="left" w:pos="440"/>
          <w:tab w:val="left" w:pos="460"/>
          <w:tab w:val="left" w:pos="480"/>
          <w:tab w:val="left" w:pos="500"/>
          <w:tab w:val="left" w:pos="520"/>
          <w:tab w:val="left" w:pos="540"/>
          <w:tab w:val="left" w:pos="560"/>
          <w:tab w:val="left" w:pos="580"/>
          <w:tab w:val="left" w:pos="600"/>
          <w:tab w:val="left" w:pos="620"/>
          <w:tab w:val="left" w:pos="640"/>
          <w:tab w:val="left" w:pos="660"/>
          <w:tab w:val="left" w:pos="680"/>
          <w:tab w:val="left" w:pos="700"/>
          <w:tab w:val="left" w:pos="720"/>
          <w:tab w:val="left" w:pos="740"/>
          <w:tab w:val="left" w:pos="760"/>
          <w:tab w:val="left" w:pos="780"/>
          <w:tab w:val="left" w:pos="800"/>
          <w:tab w:val="left" w:pos="820"/>
          <w:tab w:val="left" w:pos="840"/>
          <w:tab w:val="left" w:pos="860"/>
          <w:tab w:val="left" w:pos="880"/>
          <w:tab w:val="left" w:pos="900"/>
          <w:tab w:val="left" w:pos="920"/>
          <w:tab w:val="left" w:pos="940"/>
          <w:tab w:val="left" w:pos="960"/>
          <w:tab w:val="left" w:pos="980"/>
          <w:tab w:val="left" w:pos="1000"/>
          <w:tab w:val="left" w:pos="1020"/>
          <w:tab w:val="left" w:pos="1040"/>
          <w:tab w:val="left" w:pos="1060"/>
          <w:tab w:val="left" w:pos="1080"/>
          <w:tab w:val="left" w:pos="1100"/>
          <w:tab w:val="left" w:pos="1120"/>
          <w:tab w:val="left" w:pos="1140"/>
          <w:tab w:val="left" w:pos="1160"/>
          <w:tab w:val="left" w:pos="1180"/>
          <w:tab w:val="left" w:pos="1200"/>
          <w:tab w:val="left" w:pos="1220"/>
          <w:tab w:val="left" w:pos="1240"/>
          <w:tab w:val="left" w:pos="1260"/>
          <w:tab w:val="left" w:pos="1280"/>
          <w:tab w:val="left" w:pos="1300"/>
          <w:tab w:val="left" w:pos="1320"/>
          <w:tab w:val="left" w:pos="1340"/>
          <w:tab w:val="left" w:pos="1360"/>
          <w:tab w:val="left" w:pos="1380"/>
          <w:tab w:val="left" w:pos="1400"/>
          <w:tab w:val="left" w:pos="1420"/>
          <w:tab w:val="left" w:pos="1440"/>
          <w:tab w:val="left" w:pos="1460"/>
          <w:tab w:val="left" w:pos="1480"/>
          <w:tab w:val="left" w:pos="1500"/>
        </w:tabs>
        <w:ind w:left="1929" w:hanging="489"/>
      </w:pPr>
      <w:rPr>
        <w:rFonts w:hAnsi="Arial Unicode MS"/>
        <w:caps w:val="0"/>
        <w:smallCaps w:val="0"/>
        <w:strike w:val="0"/>
        <w:dstrike w:val="0"/>
        <w:outline w:val="0"/>
        <w:emboss w:val="0"/>
        <w:imprint w:val="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